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7B1B6B">
        <w:rPr>
          <w:sz w:val="28"/>
          <w:szCs w:val="28"/>
          <w:lang w:eastAsia="en-US"/>
        </w:rPr>
        <w:t>14 сентября</w:t>
      </w:r>
      <w:r w:rsidR="00D24E8C">
        <w:rPr>
          <w:sz w:val="28"/>
          <w:szCs w:val="28"/>
          <w:lang w:eastAsia="en-US"/>
        </w:rPr>
        <w:t xml:space="preserve"> </w:t>
      </w:r>
      <w:r w:rsidR="002C439F">
        <w:rPr>
          <w:sz w:val="28"/>
          <w:szCs w:val="28"/>
          <w:lang w:eastAsia="en-US"/>
        </w:rPr>
        <w:t xml:space="preserve"> 2016г</w:t>
      </w:r>
      <w:r w:rsidR="00D24E8C">
        <w:rPr>
          <w:sz w:val="28"/>
          <w:szCs w:val="28"/>
          <w:lang w:eastAsia="en-US"/>
        </w:rPr>
        <w:t xml:space="preserve"> </w:t>
      </w:r>
      <w:r w:rsidR="002C439F">
        <w:rPr>
          <w:sz w:val="28"/>
          <w:szCs w:val="28"/>
          <w:lang w:eastAsia="en-US"/>
        </w:rPr>
        <w:t xml:space="preserve"> </w:t>
      </w:r>
      <w:r w:rsidR="0083246A">
        <w:rPr>
          <w:sz w:val="28"/>
          <w:szCs w:val="28"/>
          <w:lang w:eastAsia="en-US"/>
        </w:rPr>
        <w:t>№</w:t>
      </w:r>
      <w:r w:rsidR="00497975">
        <w:rPr>
          <w:sz w:val="28"/>
          <w:szCs w:val="28"/>
          <w:lang w:eastAsia="en-US"/>
        </w:rPr>
        <w:t xml:space="preserve"> </w:t>
      </w:r>
      <w:r w:rsidR="007B1B6B">
        <w:rPr>
          <w:sz w:val="28"/>
          <w:szCs w:val="28"/>
          <w:lang w:eastAsia="en-US"/>
        </w:rPr>
        <w:t>2367</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 xml:space="preserve">2.1. При проведении </w:t>
      </w:r>
      <w:r w:rsidR="003544BA">
        <w:rPr>
          <w:sz w:val="28"/>
          <w:szCs w:val="28"/>
        </w:rPr>
        <w:t xml:space="preserve"> </w:t>
      </w:r>
      <w:r>
        <w:rPr>
          <w:sz w:val="28"/>
          <w:szCs w:val="28"/>
        </w:rPr>
        <w:t>аукциона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 xml:space="preserve">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участие в аукционе которого присвоен второй </w:t>
      </w:r>
      <w:r>
        <w:rPr>
          <w:bCs/>
          <w:sz w:val="28"/>
        </w:rPr>
        <w:lastRenderedPageBreak/>
        <w:t>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15D3E"/>
    <w:rsid w:val="00223A8D"/>
    <w:rsid w:val="00230A21"/>
    <w:rsid w:val="00235596"/>
    <w:rsid w:val="002904DE"/>
    <w:rsid w:val="002912B3"/>
    <w:rsid w:val="002A2A00"/>
    <w:rsid w:val="002A74D7"/>
    <w:rsid w:val="002B3774"/>
    <w:rsid w:val="002B40A6"/>
    <w:rsid w:val="002C3015"/>
    <w:rsid w:val="002C439F"/>
    <w:rsid w:val="002C71C8"/>
    <w:rsid w:val="002E2996"/>
    <w:rsid w:val="003266B0"/>
    <w:rsid w:val="00326C91"/>
    <w:rsid w:val="003541AB"/>
    <w:rsid w:val="003544BA"/>
    <w:rsid w:val="00392E5C"/>
    <w:rsid w:val="00396B17"/>
    <w:rsid w:val="003A3880"/>
    <w:rsid w:val="003A6E32"/>
    <w:rsid w:val="003C586A"/>
    <w:rsid w:val="003D1E6C"/>
    <w:rsid w:val="00424FC4"/>
    <w:rsid w:val="00437A80"/>
    <w:rsid w:val="00446726"/>
    <w:rsid w:val="00465BCB"/>
    <w:rsid w:val="0046690F"/>
    <w:rsid w:val="00484846"/>
    <w:rsid w:val="00497975"/>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B09EB"/>
    <w:rsid w:val="007B1B6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2402"/>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07D1E"/>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8946-0439-4470-B6F5-8D781B70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5923</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96</cp:revision>
  <cp:lastPrinted>2016-09-07T09:55:00Z</cp:lastPrinted>
  <dcterms:created xsi:type="dcterms:W3CDTF">2013-10-11T07:17:00Z</dcterms:created>
  <dcterms:modified xsi:type="dcterms:W3CDTF">2016-09-20T05:45:00Z</dcterms:modified>
</cp:coreProperties>
</file>